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e9056a84a194c7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16094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KONJŠČINA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1.292.239,89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1.526.126,79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1.282.518,61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1.572.139,76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46.012,97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71.890,35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4.093,34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70.934,86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1732,9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116.947,83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Konjščina proračunski je korisnik proračuna JLS(R)S-a a osnivač joj je Krapinsko-zagorska županija. Od 01.rujna 2025.godine poslije preko jedinstvenog računa riznice KZŽ. Odgovorna osoba škole je ravnatelj Dragan Roksandić, prof., a osoba odgovorna za sastavljanje financijskog izvještaja je voditeljica računovodstva Željka Antonina, struč.spec.oec. na temelju podataka iz Glavne knjige koju informatički podržava Libusoft Cicom d.o.o. Bilješke uz izvještaj izrađene su na temelju Odluke o kriterijima većih odstupanja u financijskim izvještajima od 29.01.2019.</w:t>
      </w:r>
    </w:p>
    <w:p>
      <w:r>
        <w:t xml:space="preserve">chrome-extension://efaidnbmnnnibpcajpcglclefindmkaj/https://web-arhiva.skole.hr/os-konjscina/upload/os-konjscina/images/static3/1197/attachment/Odluka_o_kriterijima_utvr_ivanja_vecih_odstupanja_od_ostvarenja_u_FI.pdf</w:t>
      </w:r>
    </w:p>
    <w:p>
      <w:r>
        <w:t xml:space="preserve">Financijski rezultat u ovom obračunskom razdoblju iznosi 116.947,83 eura iskazan kao manjak dok je u istom obračunskom razdoblju prošle godine iznosio 4.033,30 eura iskazan kao višak. Ukupni financijski rezultat u ovom obračunskom razdoblju iznosi 112.914,53 eura manjka što će biti objašnjeno kroz obrazac.</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1.292.239,89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1.526.126,79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w:t>
            </w:r>
          </w:p>
        </w:tc>
      </w:tr>
    </w:tbl>
    <w:p>
      <w:pPr>
        <w:spacing w:before="0" w:after="0"/>
      </w:pPr>
    </w:p>
    <w:p>
      <w:r>
        <w:t xml:space="preserve">Ukupni prihodi poslovanja veći su od ostvarenih u izvještajnom razdoblju prethodne godine za 18,1% što će biti objašnjeno po pojedinim vrstama prihoda u obrascu.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1.137.936,01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1.331.051,39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Povećanje tekućih pomoći iz nenadležnog proračuna od 17% odnosi se prvenstveno na povećanje plaće zaposlenih, osnovica je u veljače povećana za 3% i isto tako u rujnu 3%, povećale su se i osnovice za jubilarne nagrade i otpremnine. Od rujna 2025.godine u produženom boravku formirane su dvije gupe pa je zaposlena još jedna učiteljica RN što je rezultiralo povećanjem prihoda JLS.</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w:t>
            </w:r>
          </w:p>
        </w:tc>
      </w:tr>
    </w:tbl>
    <w:p>
      <w:pPr>
        <w:spacing w:before="0" w:after="0"/>
      </w:pPr>
    </w:p>
    <w:p>
      <w:r>
        <w:t xml:space="preserve">Povećanje od 98% na kapitalnim pomoćima iz nenadležnog proračuna odnosi se na prihode MZOM-a za višegodišnje udžbenike, za šk. godinu 2025/2026. nabavljeno ih je više u odnosu na isto obračunsko razdoblje prethodne godine jer su neki dotrajali.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istom obračunskom razdoblju prethodne godine doznačena su sredstva za dječji participativni proračun na kojega se škola prijavila s projektom "Fit učenik-Konjščina". Ove godine škola se prijavila s projektom "S VR kinom u Afriku" ali isti nije odobren.</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w:t>
            </w:r>
          </w:p>
        </w:tc>
      </w:tr>
    </w:tbl>
    <w:p>
      <w:pPr>
        <w:spacing w:before="0" w:after="0"/>
      </w:pPr>
    </w:p>
    <w:p>
      <w:r>
        <w:t xml:space="preserve">U odnosu na isto obračunsko razdoblje prethodne godine došlo je do velikog odstupanja, povećanje od 61,1%,  jer je tek od rujna 2024. godine uveden produženi boravak u školu a u 2025.godinu u rujnu formirana je još jedna skupina učenika pa su i prihodi roditelja za podmirenje troškova istog puno veći u ovom obračunskom razdoblju.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272,7</w:t>
            </w:r>
          </w:p>
        </w:tc>
      </w:tr>
    </w:tbl>
    <w:p>
      <w:pPr>
        <w:spacing w:before="0" w:after="0"/>
      </w:pPr>
    </w:p>
    <w:p>
      <w:r>
        <w:t xml:space="preserve">Na prihodima od prodaje proizvoda i robe bilježi se povećanje od 172,7% a razlog je povećan odvoz starog papira kojeg otkupljuje DS Smith Unijapapir Zagreb.</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Povećanje tekućih donacija od 20,6% u apsolutnoj vrijednosti je svega 280,00 eura a odnosi se na donacije trgovačkih društava za podmirenje materijalno financijskih rashoda.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w:t>
            </w:r>
          </w:p>
        </w:tc>
      </w:tr>
    </w:tbl>
    <w:p>
      <w:pPr>
        <w:spacing w:before="0" w:after="0"/>
      </w:pPr>
    </w:p>
    <w:p>
      <w:r>
        <w:t xml:space="preserve">Na kapitalnim donacijama povećanje je 124%; školi su donirala stolna računala, četiri komada od HEP-a u vrijednosti od 3,892,96 eura, dva od Kogutexa u vijednosti 300,00 eura, radni stol u vrijednosti od 503,10 eura i razna didaktička sredstva putem Konzumove akcije skupljanja multiplus bodova.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133.565,52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w:t>
            </w:r>
          </w:p>
        </w:tc>
      </w:tr>
    </w:tbl>
    <w:p>
      <w:pPr>
        <w:spacing w:before="0" w:after="0"/>
      </w:pPr>
    </w:p>
    <w:p>
      <w:r>
        <w:t xml:space="preserve">Prihodi iz nadležnog proračuna manji su u ovom izvještajnom razdoblju u odnosu na prošlu godinu za 21,4%. Sredstva decentralizacije povećana su u odnosu na prošlo izvještajno razdoblje za cca 3.200,00 eura dok su izvorna sredstva u prošlom razdoblju bila veća radi izvedenih radova na stražnjem izlazu iz škole i na garaži.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Prihod iz nadležnog proračuna za nabavu nef.imovine je puno veći u odnosu na isto izvještajno razdoblje prethodne godine jer se krenulo s izradom projektno tehničke dokumentacije za izgradnju sportske dvorane.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Ostalih prihoda u istom izvještajnom razdoblju prethodne godine nije bilo dok je u ovom izvještajnom razdoblju naplaćeno jamstvo za ozbiljnost ponude jer izrada projektno tehničke dokumentacije za sportsku dvoranu nije realizirana i naplaćeno je jamstvo.</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824.636,54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1.054.905,71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bl>
    <w:p>
      <w:pPr>
        <w:spacing w:before="0" w:after="0"/>
      </w:pPr>
    </w:p>
    <w:p>
      <w:r>
        <w:t xml:space="preserve">Rashodi plaća za redovan rad veći su u ovom obračunskom razdoblju za 27,9% dijelom zbog povećanja osnovice u veljači i rujnu ove godine, dijelom zbog jednog zaposlenika više radi uvođenja dvije grupeproduženog boravka. Isto tako, od rujna ove godine zaposlen je operativni djelatnik za sigurnost i civilnu zaštitu. Veći dio povećanja odnosi se na knjiženje plaće za prosinac 2025. na rashode ovog obračunskog razdoblja dok se prošle godine isti rashod knjižio na 19-Rashodi budućih razdoblja.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21.740,06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44.577,21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w:t>
            </w:r>
          </w:p>
        </w:tc>
      </w:tr>
    </w:tbl>
    <w:p>
      <w:pPr>
        <w:spacing w:before="0" w:after="0"/>
      </w:pPr>
    </w:p>
    <w:p>
      <w:r>
        <w:t xml:space="preserve">Rashodi plaće za prekovremeni rad su dvostruko veći iz razloga što je u ovom izvještajnom razdoblju puno više zamjena zbog odsutnosti zaposlenika iz raznih razloga; bolovanja, plaćenih dopusta, stručnih usavršavanja, i dr. na što se ne može utjecati. Dodatni poslovi u računovodstvu radi uvođenja pune riznice rezultirali su prekovremenim radom voditeljice računovodstva u svibnju, lipnju, srpnju (unos knjigovodstvenih podataka u LC) i prosincu (unos imovine u LC) . Rashodi za prekovremeni rad u prosincu 2025.godine je iskazan u ovom izvještajnom razdoblju dok je prošle godine knjižen na 19-Rashod budućih razdoblja.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bl>
    <w:p>
      <w:pPr>
        <w:spacing w:before="0" w:after="0"/>
      </w:pPr>
    </w:p>
    <w:p>
      <w:r>
        <w:t xml:space="preserve">Rashodi za posebne uvjete rada zadržali su se na razine prošle godine uz mali rast radi knjiženja istih na rashode ovog obračunskog razdoblja dok su se prošle godine knjižili na 19-Rashod budućih razdoblja.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53.993,01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Povećanje od 22,4% vidljivo je na rashodima za otpremnine, u ovom izvještajnom razdoblju troje djelatnika je otišlo u mirovinu a u prošlom samo jedan a i osnovica za obračun iste je povećanja u odnosu na prošlu godinu, ove godine isplaćeno je pet pomoći za bolovanje i smrtni slučaj a prošle godine dvije, zaposlenicima koji su počeli s radom u rujnu 2024.godine i ostvarili pravo na godišnji odmor i regres isplaćen je regres u siječnju 2025.godine.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181.845,23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Povećanje rashoda za doprinose na plaću vezani su uz sam porast bruto plaća i naknada zaposlenika koji je već objašnjen.</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w:t>
            </w:r>
          </w:p>
        </w:tc>
      </w:tr>
    </w:tbl>
    <w:p>
      <w:pPr>
        <w:spacing w:before="0" w:after="0"/>
      </w:pPr>
    </w:p>
    <w:p>
      <w:r>
        <w:t xml:space="preserve">Troškovi službenih putovanja smanjili su se u odnosu na isto izvještajno razdoblje prethodne godine radi toga što je Općina Konjščina organizirala školu plivanja na Lošinju prošle godine u trajanju od 10 dana a pratnja djeci su bile učiteljice RN kojima se isplaćene dnevnice u školi.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32.614,78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39.537,88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Naknade za prijevoz povećane su u ovom obračunskom razdoblju za 21,2% djelomično zbog toga što su u ovom izvještajnom razdoblju novozaposleni djelatnici većinom putnici a dijelom zbog knjiženja troška prijevoza za prosinac 2025. godine na rashode dok su se isti u izvještajnom razdoblju prošle godine knjižili na 19-Rashodi budućih razdoblja.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r>
        <w:t xml:space="preserve">Porast od 11% na troškovima stručnog usavršavanja odnosi se na stručno osposobljavanje novozaposlenog domara za rukovanje strojem za košnju,  te stručni skup ravnatelja u prvom mandatu. Ostala stručna usavršavanja odvijalu su se prema financijskim mogućnostima i planu.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Na ovom rashodu evidentira se loko vožnja koja u postotku bilježi povećanje od 42% u odnosu na prošlu godinu ali su iznosi zanemarivi. Uglavnom su to troškovi loko vožnje koji nastaju odlaskom na međuresornu suradnju ravnatelj ili stručne službe.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188,2</w:t>
            </w:r>
          </w:p>
        </w:tc>
      </w:tr>
    </w:tbl>
    <w:p>
      <w:pPr>
        <w:spacing w:before="0" w:after="0"/>
      </w:pPr>
    </w:p>
    <w:p>
      <w:r>
        <w:t xml:space="preserve">Povećanje rashoda uredskog i ostalog materijala od 88,2% odnosi se na nabavu pshodijagnostičkih sredstava koje je financiralo MZOM, povećani su rashodi uredski materijal  i za sredstva čišćenja i održavanja radi same povećane cijene istih a i radi uvođenja produženog boravka gdje se za isti nabavlja radni materijal i povećana je potreba za sredstvima čišćenja i higijenske potrepštine.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62.288,66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70.873,67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r>
        <w:t xml:space="preserve">Rashodi za materijal i sirovine povećani su jer je povećana potrošnja namirnica u školskoj kuhinji radi uvođenja produženog boravka.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Rashodi za energiju bilježe porast od 8,4% jer je potrošnja energenata u ovom izvještajnom razdoblju bila veća zbog produžene sezone grijanja pa je i trošak plina veći a isto tako, radi rekonstrukcije centralnog grijanja za vrijeme zimskih praznika u siječnju se jedan dio prostora škole grijao na električne radijatore pa se to odrazilo na povećanu potrošnju električne energije. Povećanje bi bilo još veće da je do zatvaranja riznice (12.01.2026.) zaprimljen račun za plin čiji rashod nije knjižen u ovo izvještajno razdoblje nego će biti prikazan u rashod 2026.godine.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w:t>
            </w:r>
          </w:p>
        </w:tc>
      </w:tr>
    </w:tbl>
    <w:p>
      <w:pPr>
        <w:spacing w:before="0" w:after="0"/>
      </w:pPr>
    </w:p>
    <w:p>
      <w:r>
        <w:t xml:space="preserve">Rashodi materijala i dijelova za tekuće i investicijsko odražavanje u postotku su porasli za 48,3% a do povećanja je došlo što je nabavljeno više materijala za popravke na prostorijama i opremi škole koje je obavljao  sam domar (razni sitni popravci, bojanje prostorija i sl.).</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w:t>
            </w:r>
          </w:p>
        </w:tc>
      </w:tr>
    </w:tbl>
    <w:p>
      <w:pPr>
        <w:spacing w:before="0" w:after="0"/>
      </w:pPr>
    </w:p>
    <w:p>
      <w:r>
        <w:t xml:space="preserve">Na sitnom inventaru vidljiv je indeks smanjenja jer je u izvještajnom razdoblju prethodne godine škola sudjelovala u dječjem participativnom proračunu s projektom "Fit učenik - Konjščina" i za doznačena sredstva nabavljen je sitan inventar u sportsku dvoranu dok u 2025. godini prijavljeni projekt nije odobren pa je izostao i rashod.</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366,0</w:t>
            </w:r>
          </w:p>
        </w:tc>
      </w:tr>
    </w:tbl>
    <w:p>
      <w:pPr>
        <w:spacing w:before="0" w:after="0"/>
      </w:pPr>
    </w:p>
    <w:p>
      <w:r>
        <w:t xml:space="preserve">Službena, radna i zaštitna odjeća i obuća nabavljena je u većem iznosu u odnosu na izvještajno razdoblje prethodne godine jer je od rujna 2025.godine zaposlena nova kuharica za koju je nabavljena prikladna zaštitna odjeća i obuća.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w:t>
            </w:r>
          </w:p>
        </w:tc>
      </w:tr>
    </w:tbl>
    <w:p>
      <w:pPr>
        <w:spacing w:before="0" w:after="0"/>
      </w:pPr>
    </w:p>
    <w:p>
      <w:r>
        <w:t xml:space="preserve">Smenjenje od 21,1% proizašlo je iz sve manjeg angažiranja prijevoznika na izvanučioničku nastavu, tendencija je da se za organizaciju IUN angažiraju agencije koje ugovore sklapaju direktno s roditeljima.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71.164,50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w:t>
            </w:r>
          </w:p>
        </w:tc>
      </w:tr>
    </w:tbl>
    <w:p>
      <w:pPr>
        <w:spacing w:before="0" w:after="0"/>
      </w:pPr>
    </w:p>
    <w:p>
      <w:r>
        <w:t xml:space="preserve">Rashodi za usluge tekućeg i investicijskog održavanja skoro su upola manji od izvještajnog razdoblja prethodne godine jer su se u prošloj godini izvodili radovi na sanaciji stražnjeg ulaza u školu i radovi na garaži. U ovom izvještajnom razdoblju isto je bilo radova na završetku sanacije stražnjeg ulaza u školu i  uvođenju tople vode ali ne u tolikom iznosu kao prošle godine.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 izvještajnom razdoblju bilježi se rashod za objavljivanje javne nabave za izradu projektno tehničke dokumentacije za izgradnju sportske dvorane.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za zakupnine i najamnine su u prošlom izvještajnom razdoblju bilježene na kontu 3239 Ostale nespomenute usluge, a ove godine na kontu najamnine pa je zbog toga došlo do tolikog povećanja.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w:t>
            </w:r>
          </w:p>
        </w:tc>
      </w:tr>
    </w:tbl>
    <w:p>
      <w:pPr>
        <w:spacing w:before="0" w:after="0"/>
      </w:pPr>
    </w:p>
    <w:p>
      <w:r>
        <w:t xml:space="preserve">Smanjenje od 24,6% rezultiralo je time što je u ovom izvještajnom razdoblju manje zaposlenika ostvarilo pravo na sistematski pregled po TKU-u u odnosu na prošlu godinu.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w:t>
            </w:r>
          </w:p>
        </w:tc>
      </w:tr>
    </w:tbl>
    <w:p>
      <w:pPr>
        <w:spacing w:before="0" w:after="0"/>
      </w:pPr>
    </w:p>
    <w:p>
      <w:r>
        <w:t xml:space="preserve">U ovom izvještajnom razdoblju intelektualne i osobne usluge manje su za 26,1% jer je u istom razdoblju prošle godine za domara organizirano polaganje stručnog ispita za enegetska zvanja.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w:t>
            </w:r>
          </w:p>
        </w:tc>
      </w:tr>
    </w:tbl>
    <w:p>
      <w:pPr>
        <w:spacing w:before="0" w:after="0"/>
      </w:pPr>
    </w:p>
    <w:p>
      <w:r>
        <w:t xml:space="preserve">Rashodi ostalih usluga su za 37,1% manji u odnosu na prošlu godinu zbog toga što je prošle godine bila objava natječaja za ravnatelja, registriralo se kombi vozilo koje je ove godine prodano, osposobljavalo se nekoliko novih djelatnika za sigurni način rada i zaštitu od požara.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r>
        <w:t xml:space="preserve">U ovom obračunskom razdoblju zabilježeno je smanjenje od 22,1% jer je škola prodala kombi vozilo i nije bilo osiguranja prijevoznog sredstva.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r>
        <w:t xml:space="preserve">Članarine su ostale u sličnim iznosima kao i prošle godine, postotak je značajan ali iznosu se zanemarivi.</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w:t>
            </w:r>
          </w:p>
        </w:tc>
      </w:tr>
    </w:tbl>
    <w:p>
      <w:pPr>
        <w:spacing w:before="0" w:after="0"/>
      </w:pPr>
    </w:p>
    <w:p>
      <w:r>
        <w:t xml:space="preserve">Pristojbe i naknade su u ovom izvještajnom razdoblju veće nego u prethodnoj godini radi toga jer je naknada za nezapošljavanje invalida u 2024.godini iznosila 168,00 eura a u 2025.godini iznosi 194,00 eura. Isto tako, u nekoliko navrata broj zaposlenih prešao je 50 pa su obračunate i uplaćene naknade za dvije nezaposlene osobe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w:t>
            </w:r>
          </w:p>
        </w:tc>
      </w:tr>
    </w:tbl>
    <w:p>
      <w:pPr>
        <w:spacing w:before="0" w:after="0"/>
      </w:pPr>
    </w:p>
    <w:p>
      <w:r>
        <w:t xml:space="preserve">Bankarske usluge i usluge platnog prometa su niže za 23% zbog toga jer je škola od 01.09.2025.godine u punoj riznici i zatvoren joj je žiro račun, posluje preko računa osnivača i izostali su troškovi za bankarske usluge za 4 mjeseca.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1385,9</w:t>
            </w:r>
          </w:p>
        </w:tc>
      </w:tr>
    </w:tbl>
    <w:p>
      <w:pPr>
        <w:spacing w:before="0" w:after="0"/>
      </w:pPr>
    </w:p>
    <w:p>
      <w:r>
        <w:t xml:space="preserve">Na ovom rashodu veliki je postotak a zanemariv iznos, odnosi se na kamate koje je obračunala Podravka Koprivnica za neplaćene račune namirnica za školsku kuhinju. Sredstva za besplatnu školsku kuhinju škola dobiva do kraja tekućeg mjeseca za prethodni mjesec, što je nakon valute plaćanja računa.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w:t>
            </w:r>
          </w:p>
        </w:tc>
      </w:tr>
    </w:tbl>
    <w:p>
      <w:pPr>
        <w:spacing w:before="0" w:after="0"/>
      </w:pPr>
    </w:p>
    <w:p>
      <w:r>
        <w:t xml:space="preserve">U prošlom obračunskom razdoblju treškove plaće pomoćnika u nastavi za 06/2024. financirao je osnivač jer su sredstva iz projekta bila nedostatna i bilježila su se na konto naknade građanima i kućanstvima u novcu. Na istom se kontu bilježila uskrsnica i dar djeci pomoćnika u nastavi.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obračunskom razdoblju zabilježen je manjak prihoda poslovanja dok je u prošloj godini zabilježen višak.</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46.012,97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 obračunskom razdoblju zabilježen je manjak prihoda poslovanja dok je u prošloj godini zabilježen višak.</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108.744,23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Od 01.01.2025.godine način knjiženja se promijenio pa se za sve doznake MZOM-a i JLS-a provodi knjiženje 16/96 što se u prethodnoj godini nije provodilo. Iznos prikazan na ovom kontu odnosi se na plaće za prosinac 2025.godine koje su obračunate ali ne i isplaćene.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w:t>
            </w:r>
          </w:p>
        </w:tc>
      </w:tr>
    </w:tbl>
    <w:p>
      <w:pPr>
        <w:spacing w:before="0" w:after="0"/>
      </w:pPr>
    </w:p>
    <w:p>
      <w:r>
        <w:t xml:space="preserve">U apsolutnom iznosu nije veće odstupanje, bilo je nešto manje nenaplaćenih prihoda za prodaju proizvoda i usluga u ovom izvještajnom razdoblju.</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bl>
    <w:p>
      <w:pPr>
        <w:spacing w:before="0" w:after="0"/>
      </w:pPr>
    </w:p>
    <w:p>
      <w:r>
        <w:t xml:space="preserve">U ovom izvještajnom razdoblju bio je samo jedan stan u otkupu koji je s danom 30.06.2025. godine u cijelosti otplaćen dok su u izvještajnom razdoblju prethodne godine bila dva stana u otkupu.</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 obračunskom razdoblju prodano je kombi vozilo koje više nije bilo sigurno za upotrebu i bilo je staro 30 godina.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Krenulo se s izradom projektno tehničke dokumentacije za izgradnju sportske dvorane pa se navedeni iznos odnosi na izradu glavnog projekta i njegovu reviziju.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w:t>
            </w:r>
          </w:p>
        </w:tc>
      </w:tr>
    </w:tbl>
    <w:p>
      <w:pPr>
        <w:spacing w:before="0" w:after="0"/>
      </w:pPr>
    </w:p>
    <w:p>
      <w:r>
        <w:t xml:space="preserve">U ovom izvještajnom razdoblju rashodi za nabavu nefinancijske imovine imaju veliki porast iz razloga što se preneseni višak iz prethodne godine utrošio na zanavljanje dugotrajne imovine - nabavljeno je pet laptopa, dva pisača, i uredski stolac, stolić i tri fotelje za tajništvo, donirano je od trgovačkih društava 6 stolnih računala i jedan uredski stol.</w:t>
      </w:r>
      <w:r>
        <w:br/>
      </w:r>
      <w:r>
        <w:t xml:space="preserve">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590,6</w:t>
            </w:r>
          </w:p>
        </w:tc>
      </w:tr>
    </w:tbl>
    <w:p>
      <w:pPr>
        <w:spacing w:before="0" w:after="0"/>
      </w:pPr>
    </w:p>
    <w:p>
      <w:r>
        <w:t xml:space="preserve">U ovom izvještajnom razdoblju rashodi za nabavu nefinancijske imovine imaju veliki porast iz razloga što se preneseni višak iz prethodne godine utrošio na zanavljanje dugotrajne imovine - nabavilo se dva usisavača, visokotlačni čistač, četiri klima uređaja, ljuštilica krumpira i kolica za alat.</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242,3</w:t>
            </w:r>
          </w:p>
        </w:tc>
      </w:tr>
    </w:tbl>
    <w:p>
      <w:pPr>
        <w:spacing w:before="0" w:after="0"/>
      </w:pPr>
    </w:p>
    <w:p>
      <w:r>
        <w:t xml:space="preserve">Na knjigama je zabilježen veliki rast a odnosi se na nabavu višegodišnjih udžbenika koji su dotrajali, na donaciju knjiga zaprimljenih u knjižnici i uvedenih u knjižni fond škole.</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70.934,86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1732,9</w:t>
            </w:r>
          </w:p>
        </w:tc>
      </w:tr>
    </w:tbl>
    <w:p>
      <w:pPr>
        <w:spacing w:before="0" w:after="0"/>
      </w:pPr>
    </w:p>
    <w:p>
      <w:r>
        <w:t xml:space="preserve">U ovom izvještajnom razdoblju došlo je do manjka prihoda od nefinancijske imovine koji će biti pokriven viškom prihoda poslovanja, a koji je proizašao iz rashoda za izradu projektno tehničke donacije za dvoranu.</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1.292.437,08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1.527.082,28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Ukupni prihodi u ovom obračunskom razdoblju veći su od prošlogodišnjih, što je pojedinačno objašnjeno kod većih odstupanja prihoda.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1.286.809,14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1.644.030,11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Ukupni rashodi u ovom obračunskom razdoblju veći su od prošlogodišnjih, što je pojedinačno objašnjeno kod većih odstupanja rashoda.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116.947,83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izvještajno razdoblje završilo je manjkom prihoda. Kad se istom doda višak prihoda prenesen iz prethodne godine dobije se ukupan manjak prihoda od 112.914,53 eura što je većim dijelom rezultiralo knjiženjem plaća 12. mjeseca 2025. godine u rashode tekuće godine dok su se plaće prošle godine za 12/2024. knjižile na 193 koji se više ne koristi. U prošlogodišnjem izvještajnom razdoblju nije bilo manjka prihoda.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Preneseni višak iz prethodne godine pribrojio se manjku u ovom izvještajnom razdoblju što je rezultiralo ukupnim manjkom od 112.914,53 eura. U prošlogodišnjem izvještajnom razdoblju nije bilo prenesenog viška prihoda.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obračunskom razdoblju nije bilo prenesenog manjka prihoda.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108.744,23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Od 01.01.2025.godine način knjiženja se promijenio pa se za sve doznake MZOM-a i JLS-a provodi knjiženje 16/96 što se u prethodnoj godini nije provodilo. Iznos prikazan na ovom kontu odnosi se na plaće za prosinac 2025.godine koje su obračunate ali ne i isplaćene.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1.292.437,08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1.527.082,28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Ukupni prihodi i primici u ovom obračunskom razdoblju veći su od prošlogodišnjih, što je pojedinačno objašnjeno kod većih odstupanja prihoda.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1.286.809,14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1.644.030,11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Ukupni rashodi i izdaci u ovom obračunskom razdoblju veći su od prošlogodišnjih, što je pojedinačno objašnjeno kod većih odstupanja rashoda.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Ove godine nema viška prihoda i primitaka dok je prošle godine bilo.</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116.947,83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izvještajno razdoblje završilo je manjkom prihoda i primitaka. Kad se istom doda višak prihoda prenesen iz prethodne godine dobije se ukupan manjak prihoda od 112.914,53 eura što je većim dijelom rezultiralo knjiženjem plaća 12. mjeseca 2025. godine u rashode tekuće godine dok su se plaće prošle godine za 12/2024. knjižile na 193 koji se više ne koristi. U prošlogodišnjem izvještajnom razdoblju nije bilo manjka prihoda.</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Prošle godine nije bilo prenesenog viška prihoda i primitaka dok je ove godine donesen višak prihoda iz protekle godine.</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Ove godine nije bilo prenesenog manjka prihoda i primitaka jer je prošla godina završila viškom i prenesen je višak prihoda.</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Ove godine nema viška prihoda i primitaka raspoloživih u slijedećem razdoblju jer je godina završila manjkom.</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112.914,53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izvještajno razdoblje završilo je s 112.914,53 eura manjka radi knjiženja 13 obračunatih plaća u 2025.godinu.</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96.956,18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 01.01.2025.godine način knjiženja se promijenio pa se za sve doznake MZOM-a i JLS-a provodi knjiženje 16/96 što se u prethodnoj godini nije provodilo. Iznos prikazan na ovom kontu odnosi se na plaće za prosinac 2025.godine koje su obračunate ali ne i isplaćene. Prihod za iste biti će knjižen u siječnju 2026.godine kada će biti i isplaćene.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Danom 01.09.2025. godine školi se zatvara žiro račun i posluje preko računa KZŽ.</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t xml:space="preserve">Broj zaposlenika povećan je za jednu učiteljicu razredne nastave zaposlene u produženom boravku. Jedan pomoćnih u nastavi zaposlen je na pola radnog vremena od 08.09.2025.godine što nije utjecalo na prosječan broj zaposlenih.</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1.130.423,11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1.293.327,77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Na ovoj poziciji bilježe se prihodi MZOM-a koji su objašnjeni kroz odstupanje stavke prihoda.</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37.723,62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502,1</w:t>
            </w:r>
          </w:p>
        </w:tc>
      </w:tr>
    </w:tbl>
    <w:p>
      <w:pPr>
        <w:spacing w:before="0" w:after="0"/>
      </w:pPr>
    </w:p>
    <w:p>
      <w:r>
        <w:t xml:space="preserve">N aovoj poziciji bilježe se prihodi Općine koja financira plaće profuženog boravka i dio plaće pomoćnika u nastavi. Objašnjeno je povećanje kroz odstupanje stavke prihoda.</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w:t>
            </w:r>
          </w:p>
        </w:tc>
      </w:tr>
    </w:tbl>
    <w:p>
      <w:pPr>
        <w:spacing w:before="0" w:after="0"/>
      </w:pPr>
    </w:p>
    <w:p>
      <w:r>
        <w:t xml:space="preserve">Objašnjeno je odstupanje kroz stavke prihoda.</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188,9</w:t>
            </w:r>
          </w:p>
        </w:tc>
      </w:tr>
    </w:tbl>
    <w:p>
      <w:pPr>
        <w:spacing w:before="0" w:after="0"/>
      </w:pPr>
    </w:p>
    <w:p>
      <w:r>
        <w:t xml:space="preserve">U odnosu na isto obračunsko razdoblje prethodne godine došlo je do velikog odstupanja, povećanje od 88,9%,  jer je tek od rujna 2024. godine uveden produženi boravak u školu a u 2025.godinu u rujnu formirana je još jedna skupina učenika pa su i prihodi roditelja za podmirenje troškova istog puno veći u ovom obračunskom razdoblju.</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w:t>
            </w:r>
          </w:p>
        </w:tc>
      </w:tr>
    </w:tbl>
    <w:p>
      <w:pPr>
        <w:spacing w:before="0" w:after="0"/>
      </w:pPr>
    </w:p>
    <w:p>
      <w:r>
        <w:t xml:space="preserve">U ovom obračunskom razdoblju povećana je osnovica za obračun otpremnine, isplaćene su tri otpremnine dok su u prošloj godini isplaćene dvije.</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U ovom izvještajnom razdoblju isplaćeno je pet pomoći za bolovanje i smrtni slučaj a prošle godine dvije.</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na posao i s posla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32.614,78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39.537,88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Naknade za prijevoz povećane su u ovom obračunskom razdoblju za 21,2% djelomično zbog toga što su u ovom izvještajnom razdoblju novozaposleni djelatnici većinom putnici a dijelom zbog knjiženja troška prijevoza za prosinac 2025. godine na rashode dok su se isti u izvještajnom razdoblju prošle godine knjižili na 19-Rashodi budućih razdoblja.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w:t>
            </w:r>
          </w:p>
        </w:tc>
      </w:tr>
    </w:tbl>
    <w:p>
      <w:pPr>
        <w:spacing w:before="0" w:after="0"/>
      </w:pPr>
    </w:p>
    <w:p>
      <w:r>
        <w:t xml:space="preserve">Smanjenje od 24,6% rezultiralo je time što je u ovom izvještajnom razdoblju manje zaposlenika ostvarilo pravo na sistematski pregled po TKU-u u odnosu na prošlu godinu.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1.223.944,48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1.526.962,83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w:t>
            </w:r>
          </w:p>
        </w:tc>
      </w:tr>
    </w:tbl>
    <w:p>
      <w:pPr>
        <w:spacing w:before="0" w:after="0"/>
      </w:pPr>
    </w:p>
    <w:p>
      <w:r>
        <w:t xml:space="preserve">Povećanje u ovom obračunskom razdoblju objašnjeno je po pozicijama prihoda i rashoda u obrascu PR-RAS</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62.864,66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obračunskom razdoblju ove usluge prikazane su na računu 098. </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obrazovanja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117.067,28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prošlom obračunskom razdoblju ove usluge prikazane su u obrascu na računu 096. Odstupanje je objašnjeno kroz obrazac PR-RAS.</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92.865,60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Promjena u vrijednosti i obujmu odnosi se na rekonstrukciju centralnog grijanja škole.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odnose se na obveze dobavljača za školsku prehranu i obveza za nabavljene udžbenike koje nisu podmirene u valutnom roku.</w:t>
      </w:r>
    </w:p>
    <w:p>
      <w:r>
        <w:t xml:space="preserve">Dio obveza odnosi se na bolovanje iz 11/2025.godine na teret HZZO-a u iznosu od 199,09 eura.</w:t>
      </w:r>
    </w:p>
    <w:p/>
    <w:p>
      <w:pPr>
        <w:jc w:val="center"/>
        <w:pStyle w:val="Normal"/>
        <w:spacing w:line="240" w:lineRule="auto"/>
        <w:keepNext/>
      </w:pPr>
      <w:r>
        <w:rPr>
          <w:sz w:val="28"/>
          <w:rFonts w:ascii="Times New Roman" w:hAnsi="Times New Roman"/>
        </w:rPr>
        <w:t xml:space="preserve">Bilješka 82.</w:t>
      </w:r>
    </w:p>
    <w:p>
      <w:pPr>
        <w:jc w:val="both"/>
        <w:pStyle w:val="Normal"/>
        <w:spacing w:line="240" w:lineRule="auto"/>
      </w:pPr>
      <w:r>
        <w:rPr>
          <w:b/>
          <w:sz w:val="24"/>
          <w:rFonts w:ascii="Times New Roman" w:hAnsi="Times New Roman"/>
        </w:rPr>
        <w:t xml:space="preserve">EU izvještaj</w:t>
      </w:r>
    </w:p>
    <w:p>
      <w:r>
        <w:t xml:space="preserve">EU izvještaj se predaje prvi put za ovo obračunsko razdoblje.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231a5811dea4cfa" /></Relationships>
</file>